
<file path=[Content_Types].xml><?xml version="1.0" encoding="utf-8"?>
<Types xmlns="http://schemas.openxmlformats.org/package/2006/content-types">
  <Default Extension="tiff" ContentType="image/tif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ED72C71">
      <w:pPr>
        <w:adjustRightInd w:val="0"/>
        <w:snapToGrid w:val="0"/>
        <w:spacing w:before="240" w:after="60" w:line="240" w:lineRule="atLeast"/>
        <w:rPr>
          <w:rFonts w:cs="Times New Roman"/>
          <w:b/>
          <w:bCs/>
          <w:sz w:val="20"/>
          <w:szCs w:val="20"/>
        </w:rPr>
      </w:pPr>
      <w:r>
        <w:rPr>
          <w:rFonts w:cs="Times New Roman"/>
          <w:b/>
          <w:bCs/>
          <w:sz w:val="20"/>
          <w:szCs w:val="20"/>
        </w:rPr>
        <w:t xml:space="preserve">Supplementary </w:t>
      </w:r>
      <w:r>
        <w:rPr>
          <w:rFonts w:hint="eastAsia" w:eastAsia="宋体" w:cs="Times New Roman"/>
          <w:b/>
          <w:bCs/>
          <w:sz w:val="20"/>
          <w:szCs w:val="20"/>
        </w:rPr>
        <w:t>Figure</w:t>
      </w:r>
      <w:r>
        <w:rPr>
          <w:rFonts w:cs="Times New Roman"/>
          <w:b/>
          <w:bCs/>
          <w:sz w:val="20"/>
          <w:szCs w:val="20"/>
        </w:rPr>
        <w:t xml:space="preserve">s: </w:t>
      </w:r>
    </w:p>
    <w:p w14:paraId="4FD0D6CC">
      <w:pPr>
        <w:adjustRightInd w:val="0"/>
        <w:snapToGrid w:val="0"/>
        <w:spacing w:before="240" w:after="60" w:line="240" w:lineRule="atLeast"/>
        <w:rPr>
          <w:rFonts w:cs="Times New Roman"/>
          <w:b/>
          <w:bCs/>
          <w:sz w:val="20"/>
          <w:szCs w:val="20"/>
        </w:rPr>
      </w:pPr>
    </w:p>
    <w:p w14:paraId="19CD31BE">
      <w:pPr>
        <w:adjustRightInd w:val="0"/>
        <w:snapToGrid w:val="0"/>
        <w:spacing w:before="60" w:after="60" w:line="240" w:lineRule="atLeast"/>
        <w:rPr>
          <w:rFonts w:eastAsia="宋体" w:cs="Times New Roman"/>
          <w:b/>
          <w:bCs/>
          <w:sz w:val="20"/>
          <w:szCs w:val="20"/>
        </w:rPr>
      </w:pPr>
      <w:r>
        <w:rPr>
          <w:rFonts w:hint="eastAsia" w:eastAsia="宋体" w:cs="Times New Roman"/>
          <w:b/>
          <w:bCs/>
          <w:sz w:val="20"/>
          <w:szCs w:val="20"/>
        </w:rPr>
        <w:drawing>
          <wp:inline distT="0" distB="0" distL="114300" distR="114300">
            <wp:extent cx="5749925" cy="2874645"/>
            <wp:effectExtent l="0" t="0" r="10795" b="5715"/>
            <wp:docPr id="1" name="图片 1" descr="Fig. S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Fig. S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49925" cy="2874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FA137F">
      <w:pPr>
        <w:adjustRightInd w:val="0"/>
        <w:snapToGrid w:val="0"/>
        <w:spacing w:before="60" w:after="60" w:line="240" w:lineRule="atLeast"/>
        <w:rPr>
          <w:rFonts w:cs="Times New Roman"/>
          <w:sz w:val="20"/>
          <w:szCs w:val="20"/>
        </w:rPr>
      </w:pPr>
      <w:r>
        <w:rPr>
          <w:rFonts w:cs="Times New Roman"/>
          <w:b/>
          <w:bCs/>
          <w:sz w:val="20"/>
          <w:szCs w:val="20"/>
        </w:rPr>
        <w:t>Figure S1:</w:t>
      </w:r>
      <w:r>
        <w:rPr>
          <w:rFonts w:cs="Times New Roman"/>
          <w:sz w:val="20"/>
          <w:szCs w:val="20"/>
        </w:rPr>
        <w:t xml:space="preserve"> A histogram of VAF distribution for mutations unique to FFPE, mutations unique to FF, and shared mutations between both in the 6 FFPE-FF matched cases. FF, fresh-frozen; FFPE, formalin-fixed paraffin-embedded; VAF, variant allele frequency.</w:t>
      </w:r>
    </w:p>
    <w:p w14:paraId="67CAE84B">
      <w:pPr>
        <w:adjustRightInd w:val="0"/>
        <w:snapToGrid w:val="0"/>
        <w:spacing w:before="240" w:after="60" w:line="240" w:lineRule="atLeast"/>
        <w:rPr>
          <w:rFonts w:eastAsia="宋体" w:cs="Times New Roman"/>
          <w:sz w:val="20"/>
          <w:szCs w:val="20"/>
        </w:rPr>
      </w:pPr>
    </w:p>
    <w:p w14:paraId="6E3E7A82">
      <w:pPr>
        <w:adjustRightInd w:val="0"/>
        <w:snapToGrid w:val="0"/>
        <w:spacing w:before="240" w:after="60" w:line="240" w:lineRule="atLeast"/>
        <w:rPr>
          <w:rFonts w:eastAsia="宋体" w:cs="Times New Roman"/>
          <w:sz w:val="20"/>
          <w:szCs w:val="20"/>
        </w:rPr>
      </w:pPr>
    </w:p>
    <w:p w14:paraId="6DEEB154">
      <w:pPr>
        <w:adjustRightInd w:val="0"/>
        <w:snapToGrid w:val="0"/>
        <w:spacing w:before="240" w:after="60" w:line="240" w:lineRule="atLeast"/>
        <w:rPr>
          <w:rFonts w:eastAsia="宋体" w:cs="Times New Roman"/>
          <w:sz w:val="20"/>
          <w:szCs w:val="20"/>
        </w:rPr>
      </w:pPr>
    </w:p>
    <w:p w14:paraId="7915D720">
      <w:pPr>
        <w:adjustRightInd w:val="0"/>
        <w:snapToGrid w:val="0"/>
        <w:spacing w:before="240" w:after="60" w:line="240" w:lineRule="atLeast"/>
        <w:rPr>
          <w:rFonts w:eastAsia="宋体" w:cs="Times New Roman"/>
          <w:sz w:val="20"/>
          <w:szCs w:val="20"/>
        </w:rPr>
      </w:pPr>
      <w:r>
        <w:rPr>
          <w:rFonts w:hint="eastAsia" w:eastAsia="宋体" w:cs="Times New Roman"/>
          <w:sz w:val="20"/>
          <w:szCs w:val="20"/>
        </w:rPr>
        <w:drawing>
          <wp:inline distT="0" distB="0" distL="114300" distR="114300">
            <wp:extent cx="5502910" cy="3872230"/>
            <wp:effectExtent l="0" t="0" r="13970" b="13970"/>
            <wp:docPr id="2" name="图片 2" descr="Fig. S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Fig. S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502910" cy="3872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EAF151">
      <w:pPr>
        <w:adjustRightInd w:val="0"/>
        <w:snapToGrid w:val="0"/>
        <w:spacing w:after="240" w:line="240" w:lineRule="atLeast"/>
        <w:rPr>
          <w:rFonts w:cs="Times New Roman"/>
        </w:rPr>
      </w:pPr>
      <w:r>
        <w:rPr>
          <w:rFonts w:cs="Times New Roman"/>
          <w:b/>
          <w:bCs/>
        </w:rPr>
        <w:t>Figure S2:</w:t>
      </w:r>
      <w:r>
        <w:rPr>
          <w:rFonts w:cs="Times New Roman"/>
        </w:rPr>
        <w:t xml:space="preserve"> Single-nucleotide variant distribution in matched FFPE-FF tumor pairs (n = 6). Connecting lines show intra-patient variation between preservation methods, the Wilcoxon signed-rank test was used. FF, fresh-frozen; FFPE, formalin-fixed paraffin-embedded.</w:t>
      </w:r>
    </w:p>
    <w:p w14:paraId="313892A8">
      <w:pPr>
        <w:adjustRightInd w:val="0"/>
        <w:snapToGrid w:val="0"/>
        <w:spacing w:after="240" w:line="240" w:lineRule="atLeast"/>
        <w:rPr>
          <w:rFonts w:cs="Times New Roman"/>
        </w:rPr>
      </w:pPr>
    </w:p>
    <w:p w14:paraId="625F15E4">
      <w:pPr>
        <w:adjustRightInd w:val="0"/>
        <w:snapToGrid w:val="0"/>
        <w:spacing w:after="240" w:line="240" w:lineRule="atLeast"/>
        <w:rPr>
          <w:rFonts w:cs="Times New Roman"/>
        </w:rPr>
      </w:pPr>
    </w:p>
    <w:p w14:paraId="74D7A404">
      <w:pPr>
        <w:adjustRightInd w:val="0"/>
        <w:snapToGrid w:val="0"/>
        <w:spacing w:after="240" w:line="240" w:lineRule="atLeast"/>
        <w:rPr>
          <w:rFonts w:cs="Times New Roman"/>
        </w:rPr>
      </w:pPr>
    </w:p>
    <w:p w14:paraId="0FBC25A4">
      <w:pPr>
        <w:adjustRightInd w:val="0"/>
        <w:snapToGrid w:val="0"/>
        <w:spacing w:after="240" w:line="240" w:lineRule="atLeast"/>
        <w:rPr>
          <w:rFonts w:cs="Times New Roman"/>
        </w:rPr>
      </w:pPr>
    </w:p>
    <w:p w14:paraId="3FFCC58B">
      <w:pPr>
        <w:adjustRightInd w:val="0"/>
        <w:snapToGrid w:val="0"/>
        <w:spacing w:after="240" w:line="240" w:lineRule="atLeast"/>
        <w:rPr>
          <w:rFonts w:cs="Times New Roman"/>
        </w:rPr>
      </w:pPr>
    </w:p>
    <w:p w14:paraId="5F332B7A">
      <w:pPr>
        <w:adjustRightInd w:val="0"/>
        <w:snapToGrid w:val="0"/>
        <w:spacing w:after="240" w:line="240" w:lineRule="atLeast"/>
        <w:rPr>
          <w:rFonts w:cs="Times New Roman"/>
        </w:rPr>
      </w:pPr>
    </w:p>
    <w:p w14:paraId="4917DA2F">
      <w:pPr>
        <w:adjustRightInd w:val="0"/>
        <w:snapToGrid w:val="0"/>
        <w:spacing w:after="240" w:line="240" w:lineRule="atLeast"/>
        <w:rPr>
          <w:rFonts w:cs="Times New Roman"/>
        </w:rPr>
      </w:pPr>
    </w:p>
    <w:p w14:paraId="331A285F">
      <w:pPr>
        <w:adjustRightInd w:val="0"/>
        <w:snapToGrid w:val="0"/>
        <w:spacing w:before="240" w:after="60" w:line="240" w:lineRule="atLeast"/>
        <w:rPr>
          <w:rFonts w:eastAsia="宋体" w:cs="Times New Roman"/>
          <w:sz w:val="20"/>
          <w:szCs w:val="20"/>
        </w:rPr>
      </w:pPr>
    </w:p>
    <w:p w14:paraId="0D8BA28D">
      <w:pPr>
        <w:adjustRightInd w:val="0"/>
        <w:snapToGrid w:val="0"/>
        <w:spacing w:before="240" w:after="60" w:line="240" w:lineRule="atLeast"/>
        <w:rPr>
          <w:rFonts w:eastAsia="宋体" w:cs="Times New Roman"/>
          <w:sz w:val="20"/>
          <w:szCs w:val="20"/>
        </w:rPr>
      </w:pPr>
    </w:p>
    <w:p w14:paraId="40E7AD20">
      <w:pPr>
        <w:adjustRightInd w:val="0"/>
        <w:snapToGrid w:val="0"/>
        <w:spacing w:before="240" w:after="60" w:line="240" w:lineRule="atLeast"/>
        <w:rPr>
          <w:rFonts w:eastAsia="宋体" w:cs="Times New Roman"/>
          <w:sz w:val="20"/>
          <w:szCs w:val="20"/>
        </w:rPr>
      </w:pPr>
      <w:r>
        <w:rPr>
          <w:rFonts w:hint="eastAsia" w:eastAsia="宋体" w:cs="Times New Roman"/>
          <w:sz w:val="20"/>
          <w:szCs w:val="20"/>
        </w:rPr>
        <w:drawing>
          <wp:inline distT="0" distB="0" distL="114300" distR="114300">
            <wp:extent cx="5748020" cy="3079115"/>
            <wp:effectExtent l="0" t="0" r="12700" b="14605"/>
            <wp:docPr id="14" name="图片 14" descr="Fig. S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Fig. S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48020" cy="3079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E97D6B">
      <w:pPr>
        <w:adjustRightInd w:val="0"/>
        <w:snapToGrid w:val="0"/>
        <w:spacing w:before="60" w:after="240" w:line="240" w:lineRule="atLeast"/>
        <w:rPr>
          <w:rFonts w:cs="Times New Roman"/>
        </w:rPr>
      </w:pPr>
      <w:r>
        <w:rPr>
          <w:rFonts w:cs="Times New Roman"/>
          <w:b/>
          <w:bCs/>
        </w:rPr>
        <w:t>Figure S3:</w:t>
      </w:r>
      <w:r>
        <w:rPr>
          <w:rFonts w:cs="Times New Roman"/>
        </w:rPr>
        <w:t xml:space="preserve"> A stacked bar plot with the fraction of the six substitution types for all 28 tumor samples (FFPE and FF), with matched pairs clearly indicated. FF, fresh-frozen; FFPE, formalin-fixed paraffin-embedded.</w:t>
      </w:r>
    </w:p>
    <w:p w14:paraId="227D2EB7">
      <w:pPr>
        <w:adjustRightInd w:val="0"/>
        <w:snapToGrid w:val="0"/>
        <w:spacing w:before="60" w:after="240" w:line="240" w:lineRule="atLeast"/>
        <w:rPr>
          <w:rFonts w:cs="Times New Roman"/>
        </w:rPr>
      </w:pPr>
    </w:p>
    <w:p w14:paraId="3775E8D7">
      <w:pPr>
        <w:adjustRightInd w:val="0"/>
        <w:snapToGrid w:val="0"/>
        <w:spacing w:before="60" w:after="240" w:line="240" w:lineRule="atLeast"/>
        <w:rPr>
          <w:rFonts w:cs="Times New Roman"/>
        </w:rPr>
      </w:pPr>
    </w:p>
    <w:p w14:paraId="41724916">
      <w:pPr>
        <w:adjustRightInd w:val="0"/>
        <w:snapToGrid w:val="0"/>
        <w:spacing w:before="60" w:after="240" w:line="240" w:lineRule="atLeast"/>
        <w:rPr>
          <w:rFonts w:cs="Times New Roman"/>
        </w:rPr>
      </w:pPr>
    </w:p>
    <w:p w14:paraId="586AA7AF">
      <w:pPr>
        <w:adjustRightInd w:val="0"/>
        <w:snapToGrid w:val="0"/>
        <w:spacing w:before="60" w:after="240" w:line="240" w:lineRule="atLeast"/>
        <w:rPr>
          <w:rFonts w:eastAsia="宋体" w:cs="Times New Roman"/>
        </w:rPr>
      </w:pPr>
      <w:r>
        <w:rPr>
          <w:rFonts w:hint="eastAsia" w:eastAsia="宋体" w:cs="Times New Roman"/>
        </w:rPr>
        <w:drawing>
          <wp:inline distT="0" distB="0" distL="114300" distR="114300">
            <wp:extent cx="5746750" cy="4597400"/>
            <wp:effectExtent l="0" t="0" r="13970" b="5080"/>
            <wp:docPr id="4" name="图片 4" descr="Fig. S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Fig. S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46750" cy="459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52C55D">
      <w:pPr>
        <w:adjustRightInd w:val="0"/>
        <w:snapToGrid w:val="0"/>
        <w:spacing w:before="60" w:after="240" w:line="240" w:lineRule="atLeast"/>
        <w:rPr>
          <w:rFonts w:cs="Times New Roman"/>
        </w:rPr>
      </w:pPr>
      <w:r>
        <w:rPr>
          <w:rFonts w:cs="Times New Roman"/>
          <w:b/>
          <w:bCs/>
        </w:rPr>
        <w:t>Figure S4:</w:t>
      </w:r>
      <w:r>
        <w:rPr>
          <w:rFonts w:cs="Times New Roman"/>
        </w:rPr>
        <w:t xml:space="preserve"> Distribution of VAFs for the variants selected from tissue for tracking in plasma. VAF, variant allele frequency</w:t>
      </w:r>
      <w:r>
        <w:rPr>
          <w:rFonts w:hint="eastAsia" w:eastAsia="宋体" w:cs="Times New Roman"/>
          <w:lang w:val="en-US" w:eastAsia="zh-CN"/>
        </w:rPr>
        <w:t xml:space="preserve">; </w:t>
      </w:r>
      <w:r>
        <w:rPr>
          <w:rFonts w:cs="Times New Roman"/>
        </w:rPr>
        <w:t>FF, fresh-frozen; FFPE, formalin-fixed paraffin-embedded.</w:t>
      </w:r>
      <w:bookmarkStart w:id="0" w:name="_GoBack"/>
      <w:bookmarkEnd w:id="0"/>
    </w:p>
    <w:p w14:paraId="0EAFC47C">
      <w:pPr>
        <w:adjustRightInd w:val="0"/>
        <w:snapToGrid w:val="0"/>
        <w:spacing w:before="60" w:after="60" w:line="240" w:lineRule="atLeast"/>
        <w:rPr>
          <w:rFonts w:cs="Times New Roman"/>
        </w:rPr>
      </w:pPr>
    </w:p>
    <w:p w14:paraId="08118FB5">
      <w:pPr>
        <w:adjustRightInd w:val="0"/>
        <w:snapToGrid w:val="0"/>
        <w:spacing w:before="60" w:after="240" w:line="240" w:lineRule="atLeast"/>
        <w:rPr>
          <w:rFonts w:cs="Times New Roman"/>
        </w:rPr>
      </w:pPr>
    </w:p>
    <w:p w14:paraId="24C2D13F">
      <w:pPr>
        <w:adjustRightInd w:val="0"/>
        <w:snapToGrid w:val="0"/>
        <w:spacing w:before="60" w:after="240" w:line="240" w:lineRule="atLeast"/>
        <w:rPr>
          <w:rFonts w:cs="Times New Roman"/>
        </w:rPr>
      </w:pPr>
    </w:p>
    <w:p w14:paraId="60E22418">
      <w:pPr>
        <w:adjustRightInd w:val="0"/>
        <w:snapToGrid w:val="0"/>
        <w:spacing w:before="60" w:after="240" w:line="240" w:lineRule="atLeast"/>
        <w:rPr>
          <w:rFonts w:cs="Times New Roman"/>
        </w:rPr>
      </w:pPr>
    </w:p>
    <w:p w14:paraId="5E8F8E20">
      <w:pPr>
        <w:adjustRightInd w:val="0"/>
        <w:snapToGrid w:val="0"/>
        <w:spacing w:before="60" w:after="240" w:line="240" w:lineRule="atLeast"/>
        <w:rPr>
          <w:rFonts w:cs="Times New Roman"/>
        </w:rPr>
      </w:pPr>
    </w:p>
    <w:p w14:paraId="444C408F">
      <w:pPr>
        <w:adjustRightInd w:val="0"/>
        <w:snapToGrid w:val="0"/>
        <w:spacing w:before="60" w:after="240" w:line="240" w:lineRule="atLeast"/>
        <w:rPr>
          <w:rFonts w:cs="Times New Roman"/>
        </w:rPr>
      </w:pPr>
    </w:p>
    <w:p w14:paraId="3C558D1C">
      <w:pPr>
        <w:adjustRightInd w:val="0"/>
        <w:snapToGrid w:val="0"/>
        <w:spacing w:before="60" w:after="240" w:line="240" w:lineRule="atLeast"/>
        <w:rPr>
          <w:rFonts w:cs="Times New Roman"/>
        </w:rPr>
      </w:pPr>
    </w:p>
    <w:p w14:paraId="391338E0">
      <w:pPr>
        <w:adjustRightInd w:val="0"/>
        <w:snapToGrid w:val="0"/>
        <w:spacing w:before="60" w:after="240" w:line="240" w:lineRule="atLeast"/>
        <w:rPr>
          <w:rFonts w:cs="Times New Roman"/>
        </w:rPr>
      </w:pPr>
    </w:p>
    <w:p w14:paraId="3179AAB7">
      <w:pPr>
        <w:adjustRightInd w:val="0"/>
        <w:snapToGrid w:val="0"/>
        <w:spacing w:before="60" w:after="240" w:line="240" w:lineRule="atLeast"/>
        <w:rPr>
          <w:rFonts w:cs="Times New Roman"/>
        </w:rPr>
      </w:pPr>
    </w:p>
    <w:p w14:paraId="2396F0F2">
      <w:pPr>
        <w:adjustRightInd w:val="0"/>
        <w:snapToGrid w:val="0"/>
        <w:spacing w:before="60" w:after="240" w:line="240" w:lineRule="atLeast"/>
        <w:rPr>
          <w:rFonts w:cs="Times New Roman"/>
        </w:rPr>
      </w:pPr>
    </w:p>
    <w:p w14:paraId="70A62BCF">
      <w:pPr>
        <w:jc w:val="left"/>
        <w:rPr>
          <w:rFonts w:eastAsia="宋体"/>
        </w:rPr>
      </w:pPr>
    </w:p>
    <w:p w14:paraId="31EB915F">
      <w:pPr>
        <w:jc w:val="left"/>
        <w:rPr>
          <w:rFonts w:eastAsia="宋体"/>
        </w:rPr>
      </w:pPr>
    </w:p>
    <w:p w14:paraId="3534B604">
      <w:pPr>
        <w:jc w:val="left"/>
        <w:rPr>
          <w:rFonts w:eastAsia="宋体"/>
        </w:rPr>
      </w:pPr>
      <w:r>
        <w:rPr>
          <w:rFonts w:eastAsia="宋体"/>
        </w:rPr>
        <w:drawing>
          <wp:inline distT="0" distB="0" distL="114300" distR="114300">
            <wp:extent cx="5426710" cy="4255770"/>
            <wp:effectExtent l="0" t="0" r="13970" b="11430"/>
            <wp:docPr id="3" name="图片 3" descr="Fig. S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Fig. S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26710" cy="4255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377C63">
      <w:pPr>
        <w:adjustRightInd w:val="0"/>
        <w:snapToGrid w:val="0"/>
        <w:spacing w:before="60" w:after="60" w:line="240" w:lineRule="atLeast"/>
        <w:rPr>
          <w:rFonts w:cs="Times New Roman" w:eastAsiaTheme="minorEastAsia"/>
        </w:rPr>
      </w:pPr>
      <w:r>
        <w:rPr>
          <w:rFonts w:cs="Times New Roman" w:eastAsiaTheme="minorEastAsia"/>
          <w:b/>
          <w:bCs/>
          <w:spacing w:val="-4"/>
          <w:sz w:val="20"/>
          <w:szCs w:val="20"/>
        </w:rPr>
        <w:t>Figure S5:</w:t>
      </w:r>
      <w:r>
        <w:rPr>
          <w:rFonts w:cs="Times New Roman" w:eastAsiaTheme="minorEastAsia"/>
          <w:spacing w:val="-4"/>
          <w:sz w:val="20"/>
          <w:szCs w:val="20"/>
        </w:rPr>
        <w:t xml:space="preserve"> </w:t>
      </w:r>
      <w:r>
        <w:rPr>
          <w:rFonts w:cs="Times New Roman" w:eastAsiaTheme="minorEastAsia"/>
          <w:b/>
          <w:bCs/>
          <w:spacing w:val="-4"/>
          <w:sz w:val="20"/>
          <w:szCs w:val="20"/>
        </w:rPr>
        <w:t>Circulating tumor DNA analysis.</w:t>
      </w:r>
      <w:r>
        <w:rPr>
          <w:rFonts w:cs="Times New Roman" w:eastAsiaTheme="minorEastAsia"/>
          <w:spacing w:val="-4"/>
          <w:sz w:val="20"/>
          <w:szCs w:val="20"/>
        </w:rPr>
        <w:t xml:space="preserve"> (</w:t>
      </w:r>
      <w:r>
        <w:rPr>
          <w:rFonts w:cs="Times New Roman" w:eastAsiaTheme="minorEastAsia"/>
          <w:b/>
          <w:bCs/>
          <w:spacing w:val="-4"/>
          <w:sz w:val="20"/>
          <w:szCs w:val="20"/>
        </w:rPr>
        <w:t>a</w:t>
      </w:r>
      <w:r>
        <w:rPr>
          <w:rFonts w:cs="Times New Roman" w:eastAsiaTheme="minorEastAsia"/>
          <w:spacing w:val="-4"/>
          <w:sz w:val="20"/>
          <w:szCs w:val="20"/>
        </w:rPr>
        <w:t>) Pre-op cVAF comparison between FFPE-derived (</w:t>
      </w:r>
      <w:r>
        <w:rPr>
          <w:rFonts w:cs="Times New Roman" w:eastAsiaTheme="minorEastAsia"/>
          <w:i/>
          <w:iCs/>
          <w:spacing w:val="-4"/>
          <w:sz w:val="20"/>
          <w:szCs w:val="20"/>
        </w:rPr>
        <w:t>n</w:t>
      </w:r>
      <w:r>
        <w:rPr>
          <w:rFonts w:cs="Times New Roman" w:eastAsiaTheme="minorEastAsia"/>
          <w:spacing w:val="-4"/>
          <w:sz w:val="20"/>
          <w:szCs w:val="20"/>
        </w:rPr>
        <w:t xml:space="preserve"> = 8) and FF-derived (</w:t>
      </w:r>
      <w:r>
        <w:rPr>
          <w:rFonts w:cs="Times New Roman" w:eastAsiaTheme="minorEastAsia"/>
          <w:i/>
          <w:iCs/>
          <w:spacing w:val="-4"/>
          <w:sz w:val="20"/>
          <w:szCs w:val="20"/>
        </w:rPr>
        <w:t>n</w:t>
      </w:r>
      <w:r>
        <w:rPr>
          <w:rFonts w:cs="Times New Roman" w:eastAsiaTheme="minorEastAsia"/>
          <w:spacing w:val="-4"/>
          <w:sz w:val="20"/>
          <w:szCs w:val="20"/>
        </w:rPr>
        <w:t xml:space="preserve"> = 13) variants. (</w:t>
      </w:r>
      <w:r>
        <w:rPr>
          <w:rFonts w:cs="Times New Roman" w:eastAsiaTheme="minorEastAsia"/>
          <w:b/>
          <w:bCs/>
          <w:spacing w:val="-4"/>
          <w:sz w:val="20"/>
          <w:szCs w:val="20"/>
        </w:rPr>
        <w:t>b</w:t>
      </w:r>
      <w:r>
        <w:rPr>
          <w:rFonts w:cs="Times New Roman" w:eastAsiaTheme="minorEastAsia"/>
          <w:spacing w:val="-4"/>
          <w:sz w:val="20"/>
          <w:szCs w:val="20"/>
        </w:rPr>
        <w:t>) Pre-op paired cVAF in matched FFPE-FF samples (</w:t>
      </w:r>
      <w:r>
        <w:rPr>
          <w:rFonts w:cs="Times New Roman" w:eastAsiaTheme="minorEastAsia"/>
          <w:i/>
          <w:iCs/>
          <w:spacing w:val="-4"/>
          <w:sz w:val="20"/>
          <w:szCs w:val="20"/>
        </w:rPr>
        <w:t>n</w:t>
      </w:r>
      <w:r>
        <w:rPr>
          <w:rFonts w:cs="Times New Roman" w:eastAsiaTheme="minorEastAsia"/>
          <w:spacing w:val="-4"/>
          <w:sz w:val="20"/>
          <w:szCs w:val="20"/>
        </w:rPr>
        <w:t xml:space="preserve"> = 5) with intra-patient connections. (</w:t>
      </w:r>
      <w:r>
        <w:rPr>
          <w:rFonts w:cs="Times New Roman" w:eastAsiaTheme="minorEastAsia"/>
          <w:b/>
          <w:bCs/>
          <w:spacing w:val="-4"/>
          <w:sz w:val="20"/>
          <w:szCs w:val="20"/>
        </w:rPr>
        <w:t>c</w:t>
      </w:r>
      <w:r>
        <w:rPr>
          <w:rFonts w:cs="Times New Roman" w:eastAsiaTheme="minorEastAsia"/>
          <w:spacing w:val="-4"/>
          <w:sz w:val="20"/>
          <w:szCs w:val="20"/>
        </w:rPr>
        <w:t>) Pre-op cVAF distribution by tumor stage (I-II vs. III-IV). (</w:t>
      </w:r>
      <w:r>
        <w:rPr>
          <w:rFonts w:cs="Times New Roman" w:eastAsiaTheme="minorEastAsia"/>
          <w:b/>
          <w:bCs/>
          <w:spacing w:val="-4"/>
          <w:sz w:val="20"/>
          <w:szCs w:val="20"/>
        </w:rPr>
        <w:t>d</w:t>
      </w:r>
      <w:r>
        <w:rPr>
          <w:rFonts w:cs="Times New Roman" w:eastAsiaTheme="minorEastAsia"/>
          <w:spacing w:val="-4"/>
          <w:sz w:val="20"/>
          <w:szCs w:val="20"/>
        </w:rPr>
        <w:t>) Pre-op cVAF comparison by recurrence status. For cases with paired FFPE-FF samples, the cVAF in C-D was calculated as the mean of the cVAFs derived from each sample. Linear regression analysis of pre-op mean VAF in FFPE samples (</w:t>
      </w:r>
      <w:r>
        <w:rPr>
          <w:rFonts w:cs="Times New Roman" w:eastAsiaTheme="minorEastAsia"/>
          <w:b/>
          <w:bCs/>
          <w:spacing w:val="-4"/>
          <w:sz w:val="20"/>
          <w:szCs w:val="20"/>
        </w:rPr>
        <w:t>e</w:t>
      </w:r>
      <w:r>
        <w:rPr>
          <w:rFonts w:cs="Times New Roman" w:eastAsiaTheme="minorEastAsia"/>
          <w:spacing w:val="-4"/>
          <w:sz w:val="20"/>
          <w:szCs w:val="20"/>
        </w:rPr>
        <w:t>) and FF (</w:t>
      </w:r>
      <w:r>
        <w:rPr>
          <w:rFonts w:cs="Times New Roman" w:eastAsiaTheme="minorEastAsia"/>
          <w:b/>
          <w:bCs/>
          <w:spacing w:val="-4"/>
          <w:sz w:val="20"/>
          <w:szCs w:val="20"/>
        </w:rPr>
        <w:t>f</w:t>
      </w:r>
      <w:r>
        <w:rPr>
          <w:rFonts w:cs="Times New Roman" w:eastAsiaTheme="minorEastAsia"/>
          <w:spacing w:val="-4"/>
          <w:sz w:val="20"/>
          <w:szCs w:val="20"/>
        </w:rPr>
        <w:t>) samples with pre-op cfDNA cVAF. Linear regression analysis of pre-op cfDNA cVAF derived from FFPE samples (</w:t>
      </w:r>
      <w:r>
        <w:rPr>
          <w:rFonts w:cs="Times New Roman" w:eastAsiaTheme="minorEastAsia"/>
          <w:b/>
          <w:bCs/>
          <w:spacing w:val="-4"/>
          <w:sz w:val="20"/>
          <w:szCs w:val="20"/>
        </w:rPr>
        <w:t>g</w:t>
      </w:r>
      <w:r>
        <w:rPr>
          <w:rFonts w:cs="Times New Roman" w:eastAsiaTheme="minorEastAsia"/>
          <w:spacing w:val="-4"/>
          <w:sz w:val="20"/>
          <w:szCs w:val="20"/>
        </w:rPr>
        <w:t>) and FF samples (</w:t>
      </w:r>
      <w:r>
        <w:rPr>
          <w:rFonts w:cs="Times New Roman" w:eastAsiaTheme="minorEastAsia"/>
          <w:b/>
          <w:bCs/>
          <w:spacing w:val="-4"/>
          <w:sz w:val="20"/>
          <w:szCs w:val="20"/>
        </w:rPr>
        <w:t>h</w:t>
      </w:r>
      <w:r>
        <w:rPr>
          <w:rFonts w:cs="Times New Roman" w:eastAsiaTheme="minorEastAsia"/>
          <w:spacing w:val="-4"/>
          <w:sz w:val="20"/>
          <w:szCs w:val="20"/>
        </w:rPr>
        <w:t>) with DFS. (</w:t>
      </w:r>
      <w:r>
        <w:rPr>
          <w:rFonts w:cs="Times New Roman" w:eastAsiaTheme="minorEastAsia"/>
          <w:b/>
          <w:bCs/>
          <w:spacing w:val="-4"/>
          <w:sz w:val="20"/>
          <w:szCs w:val="20"/>
        </w:rPr>
        <w:t>i</w:t>
      </w:r>
      <w:r>
        <w:rPr>
          <w:rFonts w:cs="Times New Roman" w:eastAsiaTheme="minorEastAsia"/>
          <w:spacing w:val="-4"/>
          <w:sz w:val="20"/>
          <w:szCs w:val="20"/>
        </w:rPr>
        <w:t>) Post-op landmark cVAF distribution by tumor stage (I-II vs. III-IV). Box plots represent the box boundaries = IQR, with the center line = median and whiskers = 1.5 × IQR, the Wilcoxon signed rank test was used. cVAF, circulating variant allele frequency; DFS, disease-free survival; IQR, interquartile range; Post-op, post-operative; Pre-op, pre-operative; cfDNA, cell-free DNA.</w:t>
      </w:r>
    </w:p>
    <w:p w14:paraId="65ABBFFF"/>
    <w:sectPr>
      <w:pgSz w:w="11907" w:h="16840"/>
      <w:pgMar w:top="1418" w:right="1418" w:bottom="1418" w:left="1418" w:header="851" w:footer="851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DFKai-SB">
    <w:altName w:val="Microsoft JhengHei Light"/>
    <w:panose1 w:val="03000509000000000000"/>
    <w:charset w:val="88"/>
    <w:family w:val="script"/>
    <w:pitch w:val="default"/>
    <w:sig w:usb0="00000000" w:usb1="00000000" w:usb2="00000016" w:usb3="00000000" w:csb0="00100001" w:csb1="0000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Microsoft JhengHei Light">
    <w:panose1 w:val="020B0304030504040204"/>
    <w:charset w:val="88"/>
    <w:family w:val="auto"/>
    <w:pitch w:val="default"/>
    <w:sig w:usb0="800002A7" w:usb1="28CF4400" w:usb2="00000016" w:usb3="00000000" w:csb0="00100009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documentProtection w:enforcement="0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30224"/>
    <w:rsid w:val="00152BE2"/>
    <w:rsid w:val="002024C0"/>
    <w:rsid w:val="003D0BBE"/>
    <w:rsid w:val="0056703D"/>
    <w:rsid w:val="0058771A"/>
    <w:rsid w:val="0069227A"/>
    <w:rsid w:val="00730224"/>
    <w:rsid w:val="00877D2D"/>
    <w:rsid w:val="00957168"/>
    <w:rsid w:val="00A12518"/>
    <w:rsid w:val="00BF4DB1"/>
    <w:rsid w:val="00D24E6A"/>
    <w:rsid w:val="00D44F06"/>
    <w:rsid w:val="00F42E4D"/>
    <w:rsid w:val="00F4773A"/>
    <w:rsid w:val="22036E54"/>
    <w:rsid w:val="233D0E48"/>
    <w:rsid w:val="27BC3C71"/>
    <w:rsid w:val="310F4381"/>
    <w:rsid w:val="48BF16CD"/>
    <w:rsid w:val="6D0B0F08"/>
    <w:rsid w:val="712B2D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DFKai-SB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jc w:val="both"/>
    </w:pPr>
    <w:rPr>
      <w:rFonts w:ascii="Times New Roman" w:hAnsi="Times New Roman" w:eastAsia="DFKai-SB" w:cstheme="minorBidi"/>
      <w:snapToGrid w:val="0"/>
      <w:kern w:val="2"/>
      <w:sz w:val="22"/>
      <w:szCs w:val="22"/>
      <w:lang w:val="en-US" w:eastAsia="zh-CN" w:bidi="ar-SA"/>
      <w14:ligatures w14:val="standardContextual"/>
    </w:rPr>
  </w:style>
  <w:style w:type="paragraph" w:styleId="2">
    <w:name w:val="heading 1"/>
    <w:basedOn w:val="1"/>
    <w:next w:val="1"/>
    <w:link w:val="19"/>
    <w:autoRedefine/>
    <w:qFormat/>
    <w:uiPriority w:val="9"/>
    <w:pPr>
      <w:suppressAutoHyphens/>
      <w:overflowPunct w:val="0"/>
      <w:adjustRightInd w:val="0"/>
      <w:snapToGrid w:val="0"/>
      <w:outlineLvl w:val="0"/>
    </w:pPr>
    <w:rPr>
      <w:rFonts w:cstheme="majorBidi"/>
      <w:b/>
      <w:sz w:val="24"/>
      <w:szCs w:val="32"/>
    </w:rPr>
  </w:style>
  <w:style w:type="paragraph" w:styleId="3">
    <w:name w:val="heading 2"/>
    <w:basedOn w:val="1"/>
    <w:next w:val="1"/>
    <w:link w:val="20"/>
    <w:semiHidden/>
    <w:unhideWhenUsed/>
    <w:qFormat/>
    <w:uiPriority w:val="9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2F5597" w:themeColor="accent1" w:themeShade="BF"/>
      <w:sz w:val="32"/>
      <w:szCs w:val="32"/>
    </w:rPr>
  </w:style>
  <w:style w:type="paragraph" w:styleId="4">
    <w:name w:val="heading 3"/>
    <w:basedOn w:val="1"/>
    <w:next w:val="1"/>
    <w:link w:val="21"/>
    <w:semiHidden/>
    <w:unhideWhenUsed/>
    <w:qFormat/>
    <w:uiPriority w:val="9"/>
    <w:pPr>
      <w:keepNext/>
      <w:keepLines/>
      <w:spacing w:before="160" w:after="80"/>
      <w:outlineLvl w:val="2"/>
    </w:pPr>
    <w:rPr>
      <w:rFonts w:asciiTheme="minorHAnsi" w:hAnsiTheme="minorHAnsi" w:eastAsiaTheme="majorEastAsia" w:cstheme="majorBidi"/>
      <w:color w:val="2F5597" w:themeColor="accent1" w:themeShade="BF"/>
      <w:sz w:val="28"/>
      <w:szCs w:val="28"/>
    </w:rPr>
  </w:style>
  <w:style w:type="paragraph" w:styleId="5">
    <w:name w:val="heading 4"/>
    <w:basedOn w:val="1"/>
    <w:next w:val="1"/>
    <w:link w:val="22"/>
    <w:semiHidden/>
    <w:unhideWhenUsed/>
    <w:qFormat/>
    <w:uiPriority w:val="9"/>
    <w:pPr>
      <w:keepNext/>
      <w:keepLines/>
      <w:spacing w:before="80" w:after="40"/>
      <w:outlineLvl w:val="3"/>
    </w:pPr>
    <w:rPr>
      <w:rFonts w:asciiTheme="minorHAnsi" w:hAnsiTheme="minorHAnsi" w:eastAsiaTheme="majorEastAsia" w:cstheme="majorBidi"/>
      <w:i/>
      <w:iCs/>
      <w:color w:val="2F5597" w:themeColor="accent1" w:themeShade="BF"/>
      <w:sz w:val="24"/>
    </w:rPr>
  </w:style>
  <w:style w:type="paragraph" w:styleId="6">
    <w:name w:val="heading 5"/>
    <w:basedOn w:val="1"/>
    <w:next w:val="1"/>
    <w:link w:val="23"/>
    <w:semiHidden/>
    <w:unhideWhenUsed/>
    <w:qFormat/>
    <w:uiPriority w:val="9"/>
    <w:pPr>
      <w:keepNext/>
      <w:keepLines/>
      <w:spacing w:before="80" w:after="40"/>
      <w:outlineLvl w:val="4"/>
    </w:pPr>
    <w:rPr>
      <w:rFonts w:asciiTheme="minorHAnsi" w:hAnsiTheme="minorHAnsi" w:eastAsiaTheme="majorEastAsia" w:cstheme="majorBidi"/>
      <w:color w:val="2F5597" w:themeColor="accent1" w:themeShade="BF"/>
      <w:sz w:val="24"/>
    </w:rPr>
  </w:style>
  <w:style w:type="paragraph" w:styleId="7">
    <w:name w:val="heading 6"/>
    <w:basedOn w:val="1"/>
    <w:next w:val="1"/>
    <w:link w:val="24"/>
    <w:semiHidden/>
    <w:unhideWhenUsed/>
    <w:qFormat/>
    <w:uiPriority w:val="9"/>
    <w:pPr>
      <w:keepNext/>
      <w:keepLines/>
      <w:spacing w:before="40"/>
      <w:outlineLvl w:val="5"/>
    </w:pPr>
    <w:rPr>
      <w:rFonts w:asciiTheme="minorHAnsi" w:hAnsiTheme="minorHAnsi" w:eastAsiaTheme="majorEastAsia" w:cstheme="majorBidi"/>
      <w:i/>
      <w:iCs/>
      <w:color w:val="595959" w:themeColor="text1" w:themeTint="A6"/>
      <w:sz w:val="24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8">
    <w:name w:val="heading 7"/>
    <w:basedOn w:val="1"/>
    <w:next w:val="1"/>
    <w:link w:val="25"/>
    <w:semiHidden/>
    <w:unhideWhenUsed/>
    <w:qFormat/>
    <w:uiPriority w:val="9"/>
    <w:pPr>
      <w:keepNext/>
      <w:keepLines/>
      <w:spacing w:before="40"/>
      <w:outlineLvl w:val="6"/>
    </w:pPr>
    <w:rPr>
      <w:rFonts w:asciiTheme="minorHAnsi" w:hAnsiTheme="minorHAnsi" w:eastAsiaTheme="majorEastAsia" w:cstheme="majorBidi"/>
      <w:color w:val="595959" w:themeColor="text1" w:themeTint="A6"/>
      <w:sz w:val="24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9">
    <w:name w:val="heading 8"/>
    <w:basedOn w:val="1"/>
    <w:next w:val="1"/>
    <w:link w:val="26"/>
    <w:semiHidden/>
    <w:unhideWhenUsed/>
    <w:qFormat/>
    <w:uiPriority w:val="9"/>
    <w:pPr>
      <w:keepNext/>
      <w:keepLines/>
      <w:outlineLvl w:val="7"/>
    </w:pPr>
    <w:rPr>
      <w:rFonts w:asciiTheme="minorHAnsi" w:hAnsiTheme="minorHAnsi" w:eastAsiaTheme="majorEastAsia" w:cstheme="majorBidi"/>
      <w:i/>
      <w:iCs/>
      <w:color w:val="262626" w:themeColor="text1" w:themeTint="D9"/>
      <w:sz w:val="24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paragraph" w:styleId="10">
    <w:name w:val="heading 9"/>
    <w:basedOn w:val="1"/>
    <w:next w:val="1"/>
    <w:link w:val="27"/>
    <w:semiHidden/>
    <w:unhideWhenUsed/>
    <w:qFormat/>
    <w:uiPriority w:val="9"/>
    <w:pPr>
      <w:keepNext/>
      <w:keepLines/>
      <w:outlineLvl w:val="8"/>
    </w:pPr>
    <w:rPr>
      <w:rFonts w:asciiTheme="minorHAnsi" w:hAnsiTheme="minorHAnsi" w:eastAsiaTheme="majorEastAsia" w:cstheme="majorBidi"/>
      <w:color w:val="262626" w:themeColor="text1" w:themeTint="D9"/>
      <w:sz w:val="24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default="1" w:styleId="17">
    <w:name w:val="Default Paragraph Font"/>
    <w:semiHidden/>
    <w:unhideWhenUsed/>
    <w:qFormat/>
    <w:uiPriority w:val="1"/>
  </w:style>
  <w:style w:type="table" w:default="1" w:styleId="1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annotation text"/>
    <w:basedOn w:val="1"/>
    <w:link w:val="38"/>
    <w:semiHidden/>
    <w:unhideWhenUsed/>
    <w:qFormat/>
    <w:uiPriority w:val="99"/>
    <w:rPr>
      <w:sz w:val="20"/>
      <w:szCs w:val="20"/>
    </w:rPr>
  </w:style>
  <w:style w:type="paragraph" w:styleId="12">
    <w:name w:val="toc 1"/>
    <w:basedOn w:val="1"/>
    <w:next w:val="1"/>
    <w:autoRedefine/>
    <w:semiHidden/>
    <w:unhideWhenUsed/>
    <w:qFormat/>
    <w:uiPriority w:val="39"/>
    <w:pPr>
      <w:suppressAutoHyphens/>
      <w:overflowPunct w:val="0"/>
      <w:adjustRightInd w:val="0"/>
      <w:snapToGrid w:val="0"/>
    </w:pPr>
    <w:rPr>
      <w:sz w:val="24"/>
    </w:rPr>
  </w:style>
  <w:style w:type="paragraph" w:styleId="13">
    <w:name w:val="Subtitle"/>
    <w:basedOn w:val="1"/>
    <w:next w:val="1"/>
    <w:link w:val="29"/>
    <w:qFormat/>
    <w:uiPriority w:val="11"/>
    <w:pPr>
      <w:spacing w:after="160"/>
    </w:pPr>
    <w:rPr>
      <w:rFonts w:asciiTheme="minorHAnsi" w:hAnsiTheme="minorHAnsi"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4">
    <w:name w:val="Title"/>
    <w:basedOn w:val="1"/>
    <w:next w:val="1"/>
    <w:link w:val="28"/>
    <w:qFormat/>
    <w:uiPriority w:val="10"/>
    <w:pPr>
      <w:spacing w:after="80"/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15">
    <w:name w:val="annotation subject"/>
    <w:basedOn w:val="11"/>
    <w:next w:val="11"/>
    <w:link w:val="39"/>
    <w:semiHidden/>
    <w:unhideWhenUsed/>
    <w:uiPriority w:val="99"/>
    <w:rPr>
      <w:b/>
      <w:bCs/>
    </w:rPr>
  </w:style>
  <w:style w:type="character" w:styleId="18">
    <w:name w:val="annotation reference"/>
    <w:basedOn w:val="17"/>
    <w:semiHidden/>
    <w:unhideWhenUsed/>
    <w:uiPriority w:val="99"/>
    <w:rPr>
      <w:sz w:val="16"/>
      <w:szCs w:val="16"/>
    </w:rPr>
  </w:style>
  <w:style w:type="character" w:customStyle="1" w:styleId="19">
    <w:name w:val="標題 1 字元"/>
    <w:basedOn w:val="17"/>
    <w:link w:val="2"/>
    <w:qFormat/>
    <w:uiPriority w:val="9"/>
    <w:rPr>
      <w:rFonts w:cstheme="majorBidi"/>
      <w:b/>
      <w:szCs w:val="32"/>
    </w:rPr>
  </w:style>
  <w:style w:type="character" w:customStyle="1" w:styleId="20">
    <w:name w:val="標題 2 字元"/>
    <w:basedOn w:val="17"/>
    <w:link w:val="3"/>
    <w:semiHidden/>
    <w:qFormat/>
    <w:uiPriority w:val="9"/>
    <w:rPr>
      <w:rFonts w:asciiTheme="majorHAnsi" w:hAnsiTheme="majorHAnsi" w:eastAsiaTheme="majorEastAsia" w:cstheme="majorBidi"/>
      <w:color w:val="2F5597" w:themeColor="accent1" w:themeShade="BF"/>
      <w:sz w:val="32"/>
      <w:szCs w:val="32"/>
    </w:rPr>
  </w:style>
  <w:style w:type="character" w:customStyle="1" w:styleId="21">
    <w:name w:val="標題 3 字元"/>
    <w:basedOn w:val="17"/>
    <w:link w:val="4"/>
    <w:semiHidden/>
    <w:qFormat/>
    <w:uiPriority w:val="9"/>
    <w:rPr>
      <w:rFonts w:asciiTheme="minorHAnsi" w:hAnsiTheme="minorHAnsi" w:eastAsiaTheme="majorEastAsia" w:cstheme="majorBidi"/>
      <w:color w:val="2F5597" w:themeColor="accent1" w:themeShade="BF"/>
      <w:sz w:val="28"/>
      <w:szCs w:val="28"/>
    </w:rPr>
  </w:style>
  <w:style w:type="character" w:customStyle="1" w:styleId="22">
    <w:name w:val="標題 4 字元"/>
    <w:basedOn w:val="17"/>
    <w:link w:val="5"/>
    <w:semiHidden/>
    <w:qFormat/>
    <w:uiPriority w:val="9"/>
    <w:rPr>
      <w:rFonts w:asciiTheme="minorHAnsi" w:hAnsiTheme="minorHAnsi" w:eastAsiaTheme="majorEastAsia" w:cstheme="majorBidi"/>
      <w:i/>
      <w:iCs/>
      <w:color w:val="2F5597" w:themeColor="accent1" w:themeShade="BF"/>
    </w:rPr>
  </w:style>
  <w:style w:type="character" w:customStyle="1" w:styleId="23">
    <w:name w:val="標題 5 字元"/>
    <w:basedOn w:val="17"/>
    <w:link w:val="6"/>
    <w:semiHidden/>
    <w:qFormat/>
    <w:uiPriority w:val="9"/>
    <w:rPr>
      <w:rFonts w:asciiTheme="minorHAnsi" w:hAnsiTheme="minorHAnsi" w:eastAsiaTheme="majorEastAsia" w:cstheme="majorBidi"/>
      <w:color w:val="2F5597" w:themeColor="accent1" w:themeShade="BF"/>
    </w:rPr>
  </w:style>
  <w:style w:type="character" w:customStyle="1" w:styleId="24">
    <w:name w:val="標題 6 字元"/>
    <w:basedOn w:val="17"/>
    <w:link w:val="7"/>
    <w:semiHidden/>
    <w:qFormat/>
    <w:uiPriority w:val="9"/>
    <w:rPr>
      <w:rFonts w:asciiTheme="minorHAnsi" w:hAnsiTheme="minorHAnsi" w:eastAsiaTheme="majorEastAsia" w:cstheme="majorBidi"/>
      <w:i/>
      <w:i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5">
    <w:name w:val="標題 7 字元"/>
    <w:basedOn w:val="17"/>
    <w:link w:val="8"/>
    <w:semiHidden/>
    <w:qFormat/>
    <w:uiPriority w:val="9"/>
    <w:rPr>
      <w:rFonts w:asciiTheme="minorHAnsi" w:hAnsiTheme="minorHAnsi"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6">
    <w:name w:val="標題 8 字元"/>
    <w:basedOn w:val="17"/>
    <w:link w:val="9"/>
    <w:semiHidden/>
    <w:qFormat/>
    <w:uiPriority w:val="9"/>
    <w:rPr>
      <w:rFonts w:asciiTheme="minorHAnsi" w:hAnsiTheme="minorHAnsi" w:eastAsiaTheme="majorEastAsia" w:cstheme="majorBidi"/>
      <w:i/>
      <w:iCs/>
      <w:color w:val="262626" w:themeColor="text1" w:themeTint="D9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customStyle="1" w:styleId="27">
    <w:name w:val="標題 9 字元"/>
    <w:basedOn w:val="17"/>
    <w:link w:val="10"/>
    <w:semiHidden/>
    <w:qFormat/>
    <w:uiPriority w:val="9"/>
    <w:rPr>
      <w:rFonts w:asciiTheme="minorHAnsi" w:hAnsiTheme="minorHAnsi" w:eastAsiaTheme="majorEastAsia" w:cstheme="majorBidi"/>
      <w:color w:val="262626" w:themeColor="text1" w:themeTint="D9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customStyle="1" w:styleId="28">
    <w:name w:val="標題 字元"/>
    <w:basedOn w:val="17"/>
    <w:link w:val="14"/>
    <w:qFormat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customStyle="1" w:styleId="29">
    <w:name w:val="副標題 字元"/>
    <w:basedOn w:val="17"/>
    <w:link w:val="13"/>
    <w:qFormat/>
    <w:uiPriority w:val="11"/>
    <w:rPr>
      <w:rFonts w:asciiTheme="minorHAnsi" w:hAnsiTheme="minorHAnsi"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30">
    <w:name w:val="Quote"/>
    <w:basedOn w:val="1"/>
    <w:next w:val="1"/>
    <w:link w:val="31"/>
    <w:qFormat/>
    <w:uiPriority w:val="29"/>
    <w:pPr>
      <w:spacing w:before="160" w:after="160"/>
      <w:jc w:val="center"/>
    </w:pPr>
    <w:rPr>
      <w:i/>
      <w:iCs/>
      <w:color w:val="404040" w:themeColor="text1" w:themeTint="BF"/>
      <w:sz w:val="24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31">
    <w:name w:val="引文 字元"/>
    <w:basedOn w:val="17"/>
    <w:link w:val="30"/>
    <w:qFormat/>
    <w:uiPriority w:val="29"/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32">
    <w:name w:val="List Paragraph"/>
    <w:basedOn w:val="1"/>
    <w:qFormat/>
    <w:uiPriority w:val="34"/>
    <w:pPr>
      <w:ind w:left="720"/>
      <w:contextualSpacing/>
    </w:pPr>
    <w:rPr>
      <w:sz w:val="24"/>
    </w:rPr>
  </w:style>
  <w:style w:type="character" w:customStyle="1" w:styleId="33">
    <w:name w:val="鮮明強調1"/>
    <w:basedOn w:val="17"/>
    <w:qFormat/>
    <w:uiPriority w:val="21"/>
    <w:rPr>
      <w:i/>
      <w:iCs/>
      <w:color w:val="2F5597" w:themeColor="accent1" w:themeShade="BF"/>
    </w:rPr>
  </w:style>
  <w:style w:type="paragraph" w:styleId="34">
    <w:name w:val="Intense Quote"/>
    <w:basedOn w:val="1"/>
    <w:next w:val="1"/>
    <w:link w:val="35"/>
    <w:qFormat/>
    <w:uiPriority w:val="30"/>
    <w:pPr>
      <w:pBdr>
        <w:top w:val="single" w:color="2F5496" w:themeColor="accent1" w:themeShade="BF" w:sz="4" w:space="10"/>
        <w:bottom w:val="single" w:color="2F5496" w:themeColor="accent1" w:themeShade="BF" w:sz="4" w:space="10"/>
      </w:pBdr>
      <w:spacing w:before="360" w:after="360"/>
      <w:ind w:left="864" w:right="864"/>
      <w:jc w:val="center"/>
    </w:pPr>
    <w:rPr>
      <w:i/>
      <w:iCs/>
      <w:color w:val="2F5597" w:themeColor="accent1" w:themeShade="BF"/>
      <w:sz w:val="24"/>
    </w:rPr>
  </w:style>
  <w:style w:type="character" w:customStyle="1" w:styleId="35">
    <w:name w:val="鮮明引文 字元"/>
    <w:basedOn w:val="17"/>
    <w:link w:val="34"/>
    <w:qFormat/>
    <w:uiPriority w:val="30"/>
    <w:rPr>
      <w:i/>
      <w:iCs/>
      <w:color w:val="2F5597" w:themeColor="accent1" w:themeShade="BF"/>
    </w:rPr>
  </w:style>
  <w:style w:type="character" w:customStyle="1" w:styleId="36">
    <w:name w:val="鮮明參考1"/>
    <w:basedOn w:val="17"/>
    <w:qFormat/>
    <w:uiPriority w:val="32"/>
    <w:rPr>
      <w:b/>
      <w:bCs/>
      <w:smallCaps/>
      <w:color w:val="2F5597" w:themeColor="accent1" w:themeShade="BF"/>
      <w:spacing w:val="5"/>
    </w:rPr>
  </w:style>
  <w:style w:type="paragraph" w:customStyle="1" w:styleId="37">
    <w:name w:val="Revision"/>
    <w:hidden/>
    <w:unhideWhenUsed/>
    <w:qFormat/>
    <w:uiPriority w:val="99"/>
    <w:rPr>
      <w:rFonts w:ascii="Times New Roman" w:hAnsi="Times New Roman" w:eastAsia="DFKai-SB" w:cstheme="minorBidi"/>
      <w:snapToGrid w:val="0"/>
      <w:kern w:val="2"/>
      <w:sz w:val="22"/>
      <w:szCs w:val="22"/>
      <w:lang w:val="en-US" w:eastAsia="zh-CN" w:bidi="ar-SA"/>
      <w14:ligatures w14:val="standardContextual"/>
    </w:rPr>
  </w:style>
  <w:style w:type="character" w:customStyle="1" w:styleId="38">
    <w:name w:val="註解文字 字元"/>
    <w:basedOn w:val="17"/>
    <w:link w:val="11"/>
    <w:semiHidden/>
    <w:uiPriority w:val="99"/>
    <w:rPr>
      <w:snapToGrid w:val="0"/>
      <w:kern w:val="2"/>
      <w14:ligatures w14:val="standardContextual"/>
    </w:rPr>
  </w:style>
  <w:style w:type="character" w:customStyle="1" w:styleId="39">
    <w:name w:val="註解主旨 字元"/>
    <w:basedOn w:val="38"/>
    <w:link w:val="15"/>
    <w:semiHidden/>
    <w:qFormat/>
    <w:uiPriority w:val="99"/>
    <w:rPr>
      <w:b/>
      <w:bCs/>
      <w:snapToGrid w:val="0"/>
      <w:kern w:val="2"/>
      <w14:ligatures w14:val="standardContextual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tiff"/><Relationship Id="rId7" Type="http://schemas.openxmlformats.org/officeDocument/2006/relationships/image" Target="media/image4.tiff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4" Type="http://schemas.openxmlformats.org/officeDocument/2006/relationships/image" Target="media/image1.tiff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</Pages>
  <Words>288</Words>
  <Characters>1645</Characters>
  <Lines>13</Lines>
  <Paragraphs>3</Paragraphs>
  <TotalTime>0</TotalTime>
  <ScaleCrop>false</ScaleCrop>
  <LinksUpToDate>false</LinksUpToDate>
  <CharactersWithSpaces>1928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2026-07-21T10:45:00Z</dcterms:created>
  <dc:creator>William Cho</dc:creator>
  <cp:lastModifiedBy>sherly</cp:lastModifiedBy>
  <dcterms:modified xsi:type="dcterms:W3CDTF">2026-07-22T07:27:45Z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eyJoZGlkIjoiYWI2NDhmMDc2ZTBlMjRjYjVjYmJhYWUzMzRhMGEwYmQiLCJ1c2VySWQiOiI2NDQxMzUzMjUifQ==</vt:lpwstr>
  </property>
  <property fmtid="{D5CDD505-2E9C-101B-9397-08002B2CF9AE}" pid="3" name="KSOProductBuildVer">
    <vt:lpwstr>2052-12.1.0.26895</vt:lpwstr>
  </property>
  <property fmtid="{D5CDD505-2E9C-101B-9397-08002B2CF9AE}" pid="4" name="ICV">
    <vt:lpwstr>8B18DDBA3224496BA350AD34C17EB4BF_12</vt:lpwstr>
  </property>
</Properties>
</file>